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34" w:rsidRPr="00955153" w:rsidRDefault="00773734" w:rsidP="00773734">
      <w:pPr>
        <w:jc w:val="both"/>
      </w:pPr>
      <w:bookmarkStart w:id="0" w:name="_GoBack"/>
      <w:r w:rsidRPr="00955153">
        <w:t>В Лесной кодекс РФ внесены изменения, устанавливающие порядок учёта, транспортировки и маркировки древесины</w:t>
      </w:r>
      <w:bookmarkEnd w:id="0"/>
    </w:p>
    <w:p w:rsidR="00773734" w:rsidRPr="00955153" w:rsidRDefault="00773734" w:rsidP="00773734">
      <w:pPr>
        <w:jc w:val="both"/>
      </w:pPr>
    </w:p>
    <w:p w:rsidR="00773734" w:rsidRPr="00955153" w:rsidRDefault="00773734" w:rsidP="00773734">
      <w:pPr>
        <w:ind w:firstLine="708"/>
        <w:jc w:val="both"/>
      </w:pPr>
      <w:r w:rsidRPr="00955153">
        <w:t xml:space="preserve">Федеральным законом № 415-ФЗ от 28.12.2013 в Лесной кодекс РФ внесены изменения, устанавливающие порядок учета древесины и сделок с ней, особенности её маркировки и транспортировки. </w:t>
      </w:r>
    </w:p>
    <w:p w:rsidR="00773734" w:rsidRPr="00955153" w:rsidRDefault="00773734" w:rsidP="00773734">
      <w:pPr>
        <w:ind w:firstLine="708"/>
        <w:jc w:val="both"/>
      </w:pPr>
      <w:r w:rsidRPr="00955153">
        <w:t>Изменения вступают в силу поэтапно, начиная с 01.02.2014 года.</w:t>
      </w:r>
    </w:p>
    <w:p w:rsidR="00773734" w:rsidRPr="00955153" w:rsidRDefault="00773734" w:rsidP="00773734">
      <w:pPr>
        <w:ind w:firstLine="708"/>
        <w:jc w:val="both"/>
      </w:pPr>
      <w:r w:rsidRPr="00955153">
        <w:t xml:space="preserve">Одним из нововведений, вступившим в силу, является формирование единой государственной автоматизированной информационной системы учета древесины и сделок с ней. Обязанность по внесению сведений в данную систему учета возлагается на органы государственной власти, органы местного самоуправления, юридических лиц и индивидуальных предпринимателей, осуществляющих маркировку древесины либо сделки с древесиной. </w:t>
      </w:r>
    </w:p>
    <w:p w:rsidR="00773734" w:rsidRPr="00955153" w:rsidRDefault="00773734" w:rsidP="00773734">
      <w:pPr>
        <w:ind w:firstLine="708"/>
        <w:jc w:val="both"/>
      </w:pPr>
      <w:r w:rsidRPr="00955153">
        <w:t>С 01.02.2014 года граждане не вправе отчуждать древесину, заготовленную для собственных нужд (отопление, строительство, капитальный ремонт).</w:t>
      </w:r>
    </w:p>
    <w:p w:rsidR="00773734" w:rsidRPr="00955153" w:rsidRDefault="00773734" w:rsidP="00773734">
      <w:pPr>
        <w:ind w:firstLine="708"/>
        <w:jc w:val="both"/>
      </w:pPr>
      <w:r w:rsidRPr="00955153">
        <w:t xml:space="preserve">Кроме того, с 01.07.2014 транспортировка древесины любым видом транспорта будет осуществляться при наличии специального сопроводительного документа, за исключением древесины, заготовленной гражданами для собственных нужд. В указанном документе будут содержаться сведения в </w:t>
      </w:r>
      <w:proofErr w:type="spellStart"/>
      <w:r w:rsidRPr="00955153">
        <w:t>т.ч</w:t>
      </w:r>
      <w:proofErr w:type="spellEnd"/>
      <w:r w:rsidRPr="00955153">
        <w:t>. о пунктах отправления и назначения, номере регистрационного знака транспортного средства, на котором осуществляется транспортировка древесины (в случае использования автомобильного транспорта при транспортировке). </w:t>
      </w:r>
    </w:p>
    <w:p w:rsidR="00773734" w:rsidRPr="00955153" w:rsidRDefault="00773734" w:rsidP="00773734">
      <w:pPr>
        <w:ind w:firstLine="708"/>
        <w:jc w:val="both"/>
      </w:pPr>
      <w:r w:rsidRPr="00955153">
        <w:t>С 01.01.2015 вступают в силу изменения по учёту и маркировке древесины.</w:t>
      </w:r>
    </w:p>
    <w:p w:rsidR="00773734" w:rsidRPr="00955153" w:rsidRDefault="00773734" w:rsidP="00773734">
      <w:pPr>
        <w:jc w:val="both"/>
      </w:pPr>
      <w:r w:rsidRPr="00955153">
        <w:t>Так, древесина, полученная при использовании лесов и при осуществлении мероприятий по их охране, защите и воспроизводству будет подлежать учёту до её вывоза из леса. При этом</w:t>
      </w:r>
      <w:proofErr w:type="gramStart"/>
      <w:r w:rsidRPr="00955153">
        <w:t>,</w:t>
      </w:r>
      <w:proofErr w:type="gramEnd"/>
      <w:r w:rsidRPr="00955153">
        <w:t xml:space="preserve"> древесина ценных пород (дуб, ясень, бук) должна в обязательном порядке маркироваться поштучно, данные о маркировке вноситься в единую государственную автоматизированную информационную систему учета древесины и сделок с ней. </w:t>
      </w:r>
    </w:p>
    <w:p w:rsidR="00773734" w:rsidRPr="00955153" w:rsidRDefault="00773734" w:rsidP="00773734">
      <w:pPr>
        <w:ind w:firstLine="708"/>
        <w:jc w:val="both"/>
      </w:pPr>
      <w:r w:rsidRPr="00955153">
        <w:t xml:space="preserve">С 01.07.2015 на юридических лиц и индивидуальных предпринимателей, совершивших сделки с древесиной возлагается обязанность в течение пяти рабочих дней со дня заключения, изменения или прекращения действия договора на отчуждение древесины представлять в уполномоченные органы декларацию о сделках с древесиной. Указанную декларацию, а также отчет об использовании лесов можно будет подавать в электронной форме, в том числе через Единый портал государственных и муниципальных услуг. </w:t>
      </w:r>
    </w:p>
    <w:p w:rsidR="00773734" w:rsidRPr="00955153" w:rsidRDefault="00773734" w:rsidP="00773734">
      <w:pPr>
        <w:ind w:firstLine="708"/>
        <w:jc w:val="both"/>
      </w:pPr>
      <w:r w:rsidRPr="00955153">
        <w:t>Также Лесной кодекс РФ дополнен статьей, предусматривающей безвозмездное изъятие либо конфискацию незаконно заготовленной древесины, транспортных средств и орудий незаконной заготовки лесных ресурсов. </w:t>
      </w:r>
    </w:p>
    <w:p w:rsidR="00773734" w:rsidRPr="00955153" w:rsidRDefault="00773734" w:rsidP="00773734">
      <w:pPr>
        <w:ind w:firstLine="708"/>
        <w:jc w:val="both"/>
      </w:pPr>
      <w:proofErr w:type="gramStart"/>
      <w:r w:rsidRPr="00955153">
        <w:t xml:space="preserve">В целях реализации вышеизложенных положений лесного законодательства в Кодекс Российской Федерации об административных правонарушениях внесены нормы, устанавливающие ответственность за непредставление или несвоевременное представление декларации о сделках с древесиной, информации в единую государственную автоматизированную информационную систему учета древесины, представление заведомо ложной информации, нарушение порядка учета древесины, её маркировки, транспортировки без оформленного в установленном порядке сопроводительного документа. </w:t>
      </w:r>
      <w:proofErr w:type="gramEnd"/>
    </w:p>
    <w:p w:rsidR="00773734" w:rsidRPr="00955153" w:rsidRDefault="00773734" w:rsidP="00773734">
      <w:pPr>
        <w:ind w:firstLine="708"/>
        <w:jc w:val="both"/>
      </w:pPr>
      <w:r w:rsidRPr="00955153">
        <w:t xml:space="preserve">Установлено, что за совершение указанных правонарушений на должностных лиц, индивидуальных предпринимателей, и юридических лиц размер штрафа может достигать 700 тысяч рублей, а в ряде случаев - штраф с конфискацией имущества. </w:t>
      </w:r>
    </w:p>
    <w:p w:rsidR="00773734" w:rsidRPr="00955153" w:rsidRDefault="00773734" w:rsidP="00773734">
      <w:pPr>
        <w:ind w:firstLine="708"/>
        <w:jc w:val="both"/>
      </w:pPr>
      <w:r w:rsidRPr="00955153">
        <w:t xml:space="preserve">Глава КоАП РФ, предусматривающая ответственность за нарушение требований лесного законодательства об учете древесины и сделок с ней, вступает в силу с 01.01.2015 года, за исключением отдельных частей. 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4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73734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737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737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2014-02-26T04:57:00Z</dcterms:created>
  <dcterms:modified xsi:type="dcterms:W3CDTF">2014-02-26T04:57:00Z</dcterms:modified>
</cp:coreProperties>
</file>